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color w:val="000000"/>
          <w:rFonts w:ascii="Times New Roman" w:hAnsi="Times New Roman"/>
          <w:sz w:val="24"/>
        </w:rPr>
        <w:t xml:space="preserve">)</w:t>
      </w:r>
      <w:r>
        <w:rPr/>
      </w:r>
    </w:p>
    <w:p>
      <w:r>
        <w:rPr>
          <w:color w:val="000000"/>
          <w:rFonts w:ascii="Times New Roman" w:hAnsi="Times New Roman"/>
          <w:sz w:val="24"/>
        </w:rPr>
        <w:t xml:space="preserve">OF ALBION TELEPHONE COMPANY ) CASE  NO.  ALB-T-98-4</w:t>
      </w:r>
      <w:r>
        <w:rPr/>
      </w:r>
    </w:p>
    <w:p>
      <w:r>
        <w:rPr>
          <w:color w:val="000000"/>
          <w:rFonts w:ascii="Times New Roman" w:hAnsi="Times New Roman"/>
          <w:sz w:val="24"/>
        </w:rPr>
        <w:t xml:space="preserve">FOR APPROVAL OF AN AGREEMENT FOR</w:t>
      </w:r>
      <w:r>
        <w:rPr>
          <w:color w:val="000000"/>
          <w:rFonts w:ascii="Times New Roman" w:hAnsi="Times New Roman"/>
          <w:sz w:val="24"/>
        </w:rPr>
        <w:t xml:space="preserve">)</w:t>
      </w:r>
      <w:r>
        <w:rPr/>
      </w:r>
    </w:p>
    <w:p>
      <w:r>
        <w:rPr>
          <w:color w:val="000000"/>
          <w:rFonts w:ascii="Times New Roman" w:hAnsi="Times New Roman"/>
          <w:sz w:val="24"/>
        </w:rPr>
        <w:t xml:space="preserve">INTERCONNECTION PURSUANT</w:t>
      </w:r>
      <w:r>
        <w:rPr>
          <w:color w:val="000000"/>
          <w:rFonts w:ascii="Times New Roman" w:hAnsi="Times New Roman"/>
          <w:sz w:val="24"/>
        </w:rPr>
        <w:t xml:space="preserve"> TO</w:t>
      </w:r>
      <w:r>
        <w:rPr>
          <w:color w:val="000000"/>
          <w:rFonts w:ascii="Times New Roman" w:hAnsi="Times New Roman"/>
          <w:sz w:val="24"/>
        </w:rPr>
        <w:t xml:space="preserve"> 47 U.S.C.</w:t>
      </w:r>
      <w:r>
        <w:rPr>
          <w:color w:val="000000"/>
          <w:rFonts w:ascii="Times New Roman" w:hAnsi="Times New Roman"/>
          <w:sz w:val="24"/>
        </w:rPr>
        <w:t xml:space="preserve"> ) COMMENTS OF THE</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No. 27817, the Notice of Joint Application and Notice of Modified Procedure in Case </w:t>
      </w:r>
      <w:r>
        <w:rPr/>
      </w:r>
    </w:p>
    <w:p>
      <w:r>
        <w:rPr>
          <w:color w:val="000000"/>
          <w:rFonts w:ascii="Times New Roman" w:hAnsi="Times New Roman"/>
          <w:sz w:val="24"/>
        </w:rPr>
        <w:t xml:space="preserve">No. ALB-T-98-4 issued December 7, 1998, submits the following comments.</w:t>
      </w:r>
      <w:r>
        <w:rPr/>
      </w:r>
    </w:p>
    <w:p>
      <w:r>
        <w:rPr>
          <w:color w:val="000000"/>
          <w:rFonts w:ascii="Times New Roman" w:hAnsi="Times New Roman"/>
          <w:sz w:val="24"/>
        </w:rPr>
        <w:t xml:space="preserve">On November 20, 1998, Albion Telephone Company (Albion) submitted an Application for approval of an interconnection agreement between Albion Telephone Company and Project Mutual Telephone Cooperative Association, Inc. in accordance with Section 252(e) of the Federal Telecommunications Act.  Albion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language of this agreement and concludes that the terms and conditions in this agreement are not discriminatory.  This agreement was executed solely for the purposes of implementing expanded area service (EAS) between the service areas of these two companies.  The Commission is currently considering the issue of EAS between Albion and </w:t>
      </w:r>
      <w:r>
        <w:rPr/>
      </w:r>
    </w:p>
    <w:p>
      <w:r>
        <w:rPr>
          <w:color w:val="000000"/>
          <w:rFonts w:ascii="Times New Roman" w:hAnsi="Times New Roman"/>
          <w:sz w:val="24"/>
        </w:rPr>
        <w:t xml:space="preserve">U S WEST exchanges in the Burley vicinity in Case No. GNR-T-96-9.  The financial impact on Albion associated with EAS over the routes between Albion and Project Mutual will also be addressed by Staff in their analysis for the Albion/U S WEST case.  As this agreement contains language that would make the agreement null and void if the Commission does not grant the petition for EAS between Albion and U S WEST, it is not necessary to determine whether EAS between the Albion and Project Mutual exchanges is appropriate before approving this agreement.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finds the agreement to be non-discriminatory and consistent with the public interest.  Staff recommends approval of this interconnection agreement as filed. </w:t>
      </w:r>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w:t>
      </w:r>
      <w:r>
        <w:rPr/>
      </w:r>
    </w:p>
    <w:p>
      <w:r>
        <w:rPr>
          <w:color w:val="000000"/>
          <w:rFonts w:ascii="Times New Roman" w:hAnsi="Times New Roman"/>
          <w:sz w:val="24"/>
        </w:rPr>
        <w:t xml:space="preserve">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wh:ws:gdk/albt984.wsw/umisc/cmts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